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เปลี่ยนแปลงรายการจดทะเบียน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องค์การบริหารส่วนตำบลจอมหมอกแก้วอำเภอแม่ลาวจังหวัดเชียงราย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กระทรวงพาณิชย์</w:t>
      </w:r>
    </w:p>
    <w:p w:rsidR="00974646" w:rsidRPr="00586D86" w:rsidRDefault="00D449C3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910.1pt,4pt" to="1410.7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ซึ่งได้จดทะเบียนไว้แล้วหากมีการเปลี่ยนแปลงรายการใดๆที่ได้จดทะเบียนไว้จะต้องยื่นคำขอจดทะเบียนเปลี่ยนแปลงรายการภายใน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วันนับตั้งแต่วันที่ได้มีการเปลี่ยนแปลงรายการนั้นๆ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Pr="00586D86">
        <w:rPr>
          <w:rFonts w:ascii="Tahoma" w:hAnsi="Tahoma" w:cs="Tahoma"/>
          <w:noProof/>
          <w:sz w:val="20"/>
          <w:szCs w:val="20"/>
        </w:rPr>
        <w:t>13)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Pr="00586D86">
        <w:rPr>
          <w:rFonts w:ascii="Tahoma" w:hAnsi="Tahoma" w:cs="Tahoma"/>
          <w:noProof/>
          <w:sz w:val="20"/>
          <w:szCs w:val="20"/>
        </w:rPr>
        <w:t>www.dbd.go.th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กรุงเทพมหานครติดต่อ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(1)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สำนักงานเศรษฐกิจการคลังกรุงเทพมหานคร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02-224-1916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หรือ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02-225-1945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ให้บริการกับสถานประกอบการทุกแห่งที่มีที่ตั้งอยู่ในกรุงเทพมหานคร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หรือ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(2)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สำนักงานเขตกรุงเทพมหานคร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: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ติดต่อสำนักงานเขต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สถานประกอบการแห่งใหญ่ตั้งอยู่ในพื้นที่รับผิดชอบของเขตไหนให้ไปยื่นจดทะเบียนณสำนักงานเขตนั้น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อบต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จอมหมอกแก้ว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206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เด่นห้า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ดงมะดะต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จอมหมอกแก้วอ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แม่ลาวจ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เชียงราย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57250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 5318 4102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นายทะเบียนรับจดทะเบียน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สำเนาบัตรประจำตัวของผู้ประกอบพาณิชยกิจพร้อมลงนามรับรองสำเนาถูกต้อง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สำเนาทะเบียนบ้านของผู้ประกอบพาณิชยกิจพร้อมลงนามรับรองสำเนาถูกต้อง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ต้นฉบับ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กรณีผู้ประกอบพาณิชยกิจมิได้เป็นเจ้าบ้าน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D449C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ฉบับจริง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D449C3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ครั้งละ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ร้องเรียนณอบต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จอมหมอกแก้วกองคลัง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(0 5318 4102)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(02-547-4446-7)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449C3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913pt;margin-top:18.15pt;width:502.1pt;height:110.6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ประกาศกระทรวงพาณิชย์เรื่องแต่งตั้งพนักงานเจ้าหน้าที่และนายทะเบียนพาณิชย์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ab/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1/2554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เปลี่ยนแปลงรายการจดทะเบียน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2F5480">
        <w:rPr>
          <w:rFonts w:ascii="Tahoma" w:hAnsi="Tahoma" w:cs="Tahoma"/>
          <w:noProof/>
          <w:sz w:val="20"/>
          <w:szCs w:val="20"/>
        </w:rPr>
        <w:t>/</w:t>
      </w:r>
      <w:r w:rsidR="002F5480">
        <w:rPr>
          <w:rFonts w:ascii="Tahoma" w:hAnsi="Tahoma" w:cs="Tahoma"/>
          <w:noProof/>
          <w:sz w:val="20"/>
          <w:szCs w:val="20"/>
          <w:cs/>
        </w:rPr>
        <w:t>จอมหมอกแก้ว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173C9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70686"/>
    <w:rsid w:val="00B86199"/>
    <w:rsid w:val="00C14D7A"/>
    <w:rsid w:val="00C46545"/>
    <w:rsid w:val="00CA3FE9"/>
    <w:rsid w:val="00CC02C2"/>
    <w:rsid w:val="00CD595C"/>
    <w:rsid w:val="00D12D76"/>
    <w:rsid w:val="00D30394"/>
    <w:rsid w:val="00D449C3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C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251CC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Corporate Edition</cp:lastModifiedBy>
  <cp:revision>2</cp:revision>
  <dcterms:created xsi:type="dcterms:W3CDTF">2015-12-22T09:44:00Z</dcterms:created>
  <dcterms:modified xsi:type="dcterms:W3CDTF">2015-12-22T09:44:00Z</dcterms:modified>
</cp:coreProperties>
</file>